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59388" w14:textId="77777777" w:rsidR="00DD15AE" w:rsidRDefault="00DD15AE" w:rsidP="00D41E22">
      <w:pPr>
        <w:shd w:val="clear" w:color="auto" w:fill="FFFFFF"/>
        <w:spacing w:after="150" w:line="480" w:lineRule="auto"/>
        <w:contextualSpacing/>
        <w:jc w:val="center"/>
        <w:rPr>
          <w:rFonts w:ascii="Times New Roman" w:hAnsi="Times New Roman" w:cs="Times New Roman"/>
          <w:sz w:val="24"/>
          <w:szCs w:val="24"/>
        </w:rPr>
      </w:pPr>
    </w:p>
    <w:p w14:paraId="46322D1D" w14:textId="77777777" w:rsidR="00DD15AE" w:rsidRDefault="00DD15AE" w:rsidP="00D41E22">
      <w:pPr>
        <w:shd w:val="clear" w:color="auto" w:fill="FFFFFF"/>
        <w:spacing w:after="150" w:line="480" w:lineRule="auto"/>
        <w:contextualSpacing/>
        <w:jc w:val="center"/>
        <w:rPr>
          <w:rFonts w:ascii="Times New Roman" w:hAnsi="Times New Roman" w:cs="Times New Roman"/>
          <w:sz w:val="24"/>
          <w:szCs w:val="24"/>
        </w:rPr>
      </w:pPr>
    </w:p>
    <w:p w14:paraId="37E9449E" w14:textId="77777777" w:rsidR="00DD15AE" w:rsidRDefault="00DD15AE" w:rsidP="00D41E22">
      <w:pPr>
        <w:shd w:val="clear" w:color="auto" w:fill="FFFFFF"/>
        <w:spacing w:after="150" w:line="480" w:lineRule="auto"/>
        <w:contextualSpacing/>
        <w:jc w:val="center"/>
        <w:rPr>
          <w:rFonts w:ascii="Times New Roman" w:hAnsi="Times New Roman" w:cs="Times New Roman"/>
          <w:sz w:val="24"/>
          <w:szCs w:val="24"/>
        </w:rPr>
      </w:pPr>
    </w:p>
    <w:p w14:paraId="3DB699B6" w14:textId="77777777" w:rsidR="00DD15AE" w:rsidRDefault="00DD15AE" w:rsidP="00D41E22">
      <w:pPr>
        <w:shd w:val="clear" w:color="auto" w:fill="FFFFFF"/>
        <w:spacing w:after="150" w:line="480" w:lineRule="auto"/>
        <w:contextualSpacing/>
        <w:jc w:val="center"/>
        <w:rPr>
          <w:rFonts w:ascii="Times New Roman" w:hAnsi="Times New Roman" w:cs="Times New Roman"/>
          <w:sz w:val="24"/>
          <w:szCs w:val="24"/>
        </w:rPr>
      </w:pPr>
    </w:p>
    <w:p w14:paraId="5641FD3A" w14:textId="77777777" w:rsidR="00DD15AE" w:rsidRDefault="00DD15AE" w:rsidP="00D41E22">
      <w:pPr>
        <w:shd w:val="clear" w:color="auto" w:fill="FFFFFF"/>
        <w:spacing w:after="150" w:line="480" w:lineRule="auto"/>
        <w:contextualSpacing/>
        <w:jc w:val="center"/>
        <w:rPr>
          <w:rFonts w:ascii="Times New Roman" w:hAnsi="Times New Roman" w:cs="Times New Roman"/>
          <w:sz w:val="24"/>
          <w:szCs w:val="24"/>
        </w:rPr>
      </w:pPr>
    </w:p>
    <w:p w14:paraId="5D56126E" w14:textId="77777777" w:rsidR="00DD15AE" w:rsidRDefault="00DD15AE" w:rsidP="00D41E22">
      <w:pPr>
        <w:shd w:val="clear" w:color="auto" w:fill="FFFFFF"/>
        <w:spacing w:after="150" w:line="480" w:lineRule="auto"/>
        <w:contextualSpacing/>
        <w:jc w:val="center"/>
        <w:rPr>
          <w:rFonts w:ascii="Times New Roman" w:hAnsi="Times New Roman" w:cs="Times New Roman"/>
          <w:sz w:val="24"/>
          <w:szCs w:val="24"/>
        </w:rPr>
      </w:pPr>
    </w:p>
    <w:p w14:paraId="1382F3CD" w14:textId="77777777" w:rsidR="00DD15AE" w:rsidRDefault="00DD15AE" w:rsidP="00D41E22">
      <w:pPr>
        <w:shd w:val="clear" w:color="auto" w:fill="FFFFFF"/>
        <w:spacing w:after="150" w:line="480" w:lineRule="auto"/>
        <w:contextualSpacing/>
        <w:jc w:val="center"/>
        <w:rPr>
          <w:rFonts w:ascii="Times New Roman" w:hAnsi="Times New Roman" w:cs="Times New Roman"/>
          <w:sz w:val="24"/>
          <w:szCs w:val="24"/>
        </w:rPr>
      </w:pPr>
    </w:p>
    <w:p w14:paraId="44734C3A" w14:textId="4A0DEE7C" w:rsidR="000F097C" w:rsidRDefault="009C1F4A" w:rsidP="00D41E22">
      <w:pPr>
        <w:shd w:val="clear" w:color="auto" w:fill="FFFFFF"/>
        <w:spacing w:after="150" w:line="480" w:lineRule="auto"/>
        <w:contextualSpacing/>
        <w:jc w:val="center"/>
        <w:rPr>
          <w:rFonts w:ascii="Times New Roman" w:hAnsi="Times New Roman" w:cs="Times New Roman"/>
          <w:sz w:val="24"/>
          <w:szCs w:val="24"/>
        </w:rPr>
      </w:pPr>
      <w:r w:rsidRPr="006D6C4D">
        <w:rPr>
          <w:rFonts w:ascii="Times New Roman" w:hAnsi="Times New Roman" w:cs="Times New Roman"/>
          <w:sz w:val="24"/>
          <w:szCs w:val="24"/>
        </w:rPr>
        <w:t>LPTA Source Selection Process</w:t>
      </w:r>
    </w:p>
    <w:p w14:paraId="23FD5DFA" w14:textId="095BAF58" w:rsidR="005A3CFE" w:rsidRDefault="008B281B" w:rsidP="00D41E22">
      <w:pPr>
        <w:shd w:val="clear" w:color="auto" w:fill="FFFFFF"/>
        <w:spacing w:after="150" w:line="480" w:lineRule="auto"/>
        <w:contextualSpacing/>
        <w:jc w:val="center"/>
        <w:rPr>
          <w:rFonts w:ascii="Times New Roman" w:eastAsia="Times New Roman" w:hAnsi="Times New Roman" w:cs="Times New Roman"/>
          <w:color w:val="333333"/>
          <w:sz w:val="24"/>
          <w:szCs w:val="24"/>
        </w:rPr>
      </w:pPr>
      <w:r w:rsidRPr="006D6C4D">
        <w:rPr>
          <w:rFonts w:ascii="Times New Roman" w:hAnsi="Times New Roman" w:cs="Times New Roman"/>
          <w:sz w:val="24"/>
          <w:szCs w:val="24"/>
        </w:rPr>
        <w:t>Name of Student</w:t>
      </w:r>
    </w:p>
    <w:p w14:paraId="725DD410" w14:textId="77777777" w:rsidR="000F097C" w:rsidRDefault="000F097C" w:rsidP="00D41E22">
      <w:pPr>
        <w:shd w:val="clear" w:color="auto" w:fill="FFFFFF"/>
        <w:spacing w:after="150" w:line="480" w:lineRule="auto"/>
        <w:contextualSpacing/>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Institutional Affiliations</w:t>
      </w:r>
    </w:p>
    <w:p w14:paraId="55F86462" w14:textId="77777777" w:rsidR="00DD15AE" w:rsidRDefault="00DD15AE" w:rsidP="00D41E22">
      <w:pPr>
        <w:shd w:val="clear" w:color="auto" w:fill="FFFFFF"/>
        <w:spacing w:after="15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br w:type="page"/>
      </w:r>
    </w:p>
    <w:p w14:paraId="59A5F026" w14:textId="37AF2A59" w:rsidR="009C1F4A" w:rsidRPr="000F097C" w:rsidRDefault="009C1F4A" w:rsidP="00D41E22">
      <w:pPr>
        <w:shd w:val="clear" w:color="auto" w:fill="FFFFFF"/>
        <w:spacing w:after="150" w:line="480" w:lineRule="auto"/>
        <w:contextualSpacing/>
        <w:jc w:val="center"/>
        <w:rPr>
          <w:rFonts w:ascii="Times New Roman" w:eastAsia="Times New Roman" w:hAnsi="Times New Roman" w:cs="Times New Roman"/>
          <w:color w:val="333333"/>
          <w:sz w:val="24"/>
          <w:szCs w:val="24"/>
        </w:rPr>
      </w:pPr>
      <w:r w:rsidRPr="006D6C4D">
        <w:rPr>
          <w:rFonts w:ascii="Times New Roman" w:hAnsi="Times New Roman" w:cs="Times New Roman"/>
          <w:b/>
          <w:sz w:val="24"/>
          <w:szCs w:val="24"/>
        </w:rPr>
        <w:lastRenderedPageBreak/>
        <w:t>LPTA Source Selection Process</w:t>
      </w:r>
    </w:p>
    <w:p w14:paraId="4DFACEAD" w14:textId="77777777" w:rsidR="0042246E" w:rsidRDefault="0042246E" w:rsidP="008C10AD">
      <w:pPr>
        <w:pStyle w:val="NormalWeb"/>
        <w:spacing w:before="0" w:beforeAutospacing="0" w:line="480" w:lineRule="auto"/>
        <w:ind w:firstLine="720"/>
        <w:contextualSpacing/>
      </w:pPr>
      <w:r>
        <w:t xml:space="preserve">The lowest price technically acceptable selection process contract took the markets by storm as the federal government reduced budgets due to the 2008 Great Recession. When the Pentagon divulged its Better Buying Power initiatives in 2009, the federal signed almost 4.20 million LPTA deals or 2.4% of Federal procurements. According to a 2015 study by Deltek of Herndon, the total number of LPTA deals had increased to 7.50 million, or 4.4% by the end of 2012. The LPTA source selection process is a process where the federal government ascertains that the least price is awarded over the complaint technical offerings of all proposals. The selection </w:t>
      </w:r>
      <w:r w:rsidR="0043676C">
        <w:t>procedure</w:t>
      </w:r>
      <w:r>
        <w:t xml:space="preserve"> is suitable only when the</w:t>
      </w:r>
      <w:r w:rsidR="0043676C">
        <w:t xml:space="preserve"> federal</w:t>
      </w:r>
      <w:r>
        <w:t xml:space="preserve"> government "believes" it can attain the </w:t>
      </w:r>
      <w:r w:rsidR="0043676C">
        <w:t>greatest</w:t>
      </w:r>
      <w:r>
        <w:t xml:space="preserve"> value from </w:t>
      </w:r>
      <w:r w:rsidR="0043676C">
        <w:t>choosing</w:t>
      </w:r>
      <w:r>
        <w:t xml:space="preserve"> a proposal that is acceptable technically and provides the least evaluated price</w:t>
      </w:r>
      <w:r w:rsidR="005C2AB3">
        <w:t xml:space="preserve"> (</w:t>
      </w:r>
      <w:r w:rsidR="005C2AB3" w:rsidRPr="005C2AB3">
        <w:rPr>
          <w:rFonts w:hint="eastAsia"/>
        </w:rPr>
        <w:t xml:space="preserve">Rendon, Landale, Odom, </w:t>
      </w:r>
      <w:r w:rsidR="005C2AB3">
        <w:rPr>
          <w:rFonts w:hint="eastAsia"/>
        </w:rPr>
        <w:t>Osman, Jamal</w:t>
      </w:r>
      <w:r w:rsidR="005C2AB3" w:rsidRPr="005C2AB3">
        <w:rPr>
          <w:rFonts w:hint="eastAsia"/>
        </w:rPr>
        <w:t xml:space="preserve"> &amp; </w:t>
      </w:r>
      <w:r w:rsidR="005C2AB3">
        <w:rPr>
          <w:rFonts w:hint="eastAsia"/>
        </w:rPr>
        <w:t xml:space="preserve">Wesley, </w:t>
      </w:r>
      <w:r w:rsidR="005C2AB3" w:rsidRPr="005C2AB3">
        <w:rPr>
          <w:rFonts w:hint="eastAsia"/>
        </w:rPr>
        <w:t>2016). </w:t>
      </w:r>
      <w:r>
        <w:t xml:space="preserve">When used suitably the LPTA approach can be quick. The bar constitutes the appraisal factors relating to the non-cost factors, but there is no discrimination amongst offerors concerning them. </w:t>
      </w:r>
    </w:p>
    <w:p w14:paraId="29D799C4" w14:textId="77777777" w:rsidR="0042246E" w:rsidRDefault="0042246E" w:rsidP="00D41E22">
      <w:pPr>
        <w:pStyle w:val="NormalWeb"/>
        <w:spacing w:before="0" w:beforeAutospacing="0" w:after="0" w:line="480" w:lineRule="auto"/>
        <w:ind w:firstLine="720"/>
        <w:contextualSpacing/>
      </w:pPr>
      <w:r>
        <w:t>With price or cost as the tipping point amongst otherwise proposals that are technically acceptable, the offerors should focus their proposal's efforts and strategies on creating a competitive but realistic price for solutions. The offeror should apply the non-cost elements just enough to be considered "acceptable" such that they not omitted from the competition. There is the need to review the enhancements and other demonstrations of knowledge, flexibility, originality, or dependability that lead to inessential costs that might compel to push the offered prices higher than the lowest prices</w:t>
      </w:r>
      <w:r w:rsidR="005C2AB3">
        <w:t xml:space="preserve"> (United State, 2014)</w:t>
      </w:r>
      <w:r>
        <w:t>.  The charges that may sensibly and competently support the technical and performance-based proposal can quickly lead to higher-priced proposals that are subjected to absolute rejection under the LPTA selection process.  The accomplishment and demonstration of the satisfaction of the non-cost factors and other sub-</w:t>
      </w:r>
      <w:r>
        <w:lastRenderedPageBreak/>
        <w:t>factors allow the offeror to stay in the race, whereas over-achievement or remarkable demonstration may cost the offeror the ultimate award.</w:t>
      </w:r>
    </w:p>
    <w:p w14:paraId="4F32C2A7" w14:textId="31E7901D" w:rsidR="0042246E" w:rsidRDefault="0042246E" w:rsidP="00D41E22">
      <w:pPr>
        <w:pStyle w:val="NormalWeb"/>
        <w:spacing w:before="0" w:beforeAutospacing="0" w:after="0" w:line="480" w:lineRule="auto"/>
        <w:ind w:firstLine="720"/>
        <w:contextualSpacing/>
      </w:pPr>
      <w:r>
        <w:t xml:space="preserve">The Best Value procurements use the Best Value Tradeoffs Analysis, which provides an agency the aptitude to consider the proposal's costs and benefits and awards the deal to the </w:t>
      </w:r>
      <w:r w:rsidR="0043676C">
        <w:t>offer</w:t>
      </w:r>
      <w:r>
        <w:t xml:space="preserve"> that will offer the "</w:t>
      </w:r>
      <w:r w:rsidR="0043676C">
        <w:t>greatest</w:t>
      </w:r>
      <w:r>
        <w:t xml:space="preserve"> value" to the federal government – even if the proposal has a greater price than other suitable offers. Contractors who bid on the Best Value procurements should think tactically and be mindful of pricing and technical excellence.  Devising the lower prices or surpassing the RFP requirements – autonomously or even in tandem – might not be adequate. For the Best Value process, the non-cost factors like previous performance, innovation, aversion to risks, and reliability, are weighted as similarly important if not more significant compared to the prices</w:t>
      </w:r>
      <w:r w:rsidRPr="0042246E">
        <w:rPr>
          <w:rFonts w:hint="eastAsia"/>
        </w:rPr>
        <w:t xml:space="preserve"> </w:t>
      </w:r>
      <w:r w:rsidRPr="0042246E">
        <w:t>(</w:t>
      </w:r>
      <w:r w:rsidR="005C2AB3" w:rsidRPr="005C2AB3">
        <w:rPr>
          <w:rFonts w:hint="eastAsia"/>
        </w:rPr>
        <w:t>Petek</w:t>
      </w:r>
      <w:r w:rsidR="008C10AD">
        <w:t xml:space="preserve"> et al.,</w:t>
      </w:r>
      <w:bookmarkStart w:id="0" w:name="_GoBack"/>
      <w:bookmarkEnd w:id="0"/>
      <w:r w:rsidR="005C2AB3">
        <w:rPr>
          <w:rFonts w:hint="eastAsia"/>
        </w:rPr>
        <w:t xml:space="preserve"> </w:t>
      </w:r>
      <w:r w:rsidR="005C2AB3" w:rsidRPr="005C2AB3">
        <w:rPr>
          <w:rFonts w:hint="eastAsia"/>
        </w:rPr>
        <w:t>2017</w:t>
      </w:r>
      <w:r w:rsidRPr="0042246E">
        <w:rPr>
          <w:rFonts w:hint="eastAsia"/>
        </w:rPr>
        <w:t>). </w:t>
      </w:r>
      <w:r>
        <w:t xml:space="preserve">This authorizes the federal Government the resilience to balance between the non-cost aspects and price/cost aspects and award to proposals that do not have the least price or do not rate as the greatest technically. </w:t>
      </w:r>
    </w:p>
    <w:p w14:paraId="69626153" w14:textId="77777777" w:rsidR="0042246E" w:rsidRDefault="0042246E" w:rsidP="00D41E22">
      <w:pPr>
        <w:pStyle w:val="NormalWeb"/>
        <w:spacing w:before="0" w:beforeAutospacing="0" w:after="0" w:line="480" w:lineRule="auto"/>
        <w:ind w:firstLine="720"/>
        <w:contextualSpacing/>
      </w:pPr>
      <w:r>
        <w:t xml:space="preserve">In this instance, the LPTA process can be used in procuring a system which will be used during the conversion time. LPTA is suitable where the requirements of the proposal are </w:t>
      </w:r>
      <w:r w:rsidR="0043676C">
        <w:t xml:space="preserve">well well-defined, </w:t>
      </w:r>
      <w:r>
        <w:t>risk</w:t>
      </w:r>
      <w:r w:rsidR="0043676C">
        <w:t>s</w:t>
      </w:r>
      <w:r>
        <w:t xml:space="preserve"> of abortive </w:t>
      </w:r>
      <w:r w:rsidR="0043676C">
        <w:t>agreement</w:t>
      </w:r>
      <w:r>
        <w:t xml:space="preserve"> performance is insignificant, and lastly, there is no need, value, or inclination to pay for </w:t>
      </w:r>
      <w:r w:rsidR="0043676C">
        <w:t>greater</w:t>
      </w:r>
      <w:r>
        <w:t xml:space="preserve"> quality and performance. The project is a system that will be used temporarily during the conversion time as the Department of Veterans Affairs converts its payroll system. The project is an extremely intricate noncommercial system that will be used in handling financial transactions. However, it will need subsystems, such as commercially available software and hardware, and broad programming that is commercially available. Hence, the LPTA is appropriate since the project's requirements are well defined. Besides, it is anticipated that the winning proposal will use some subcontractors to execute </w:t>
      </w:r>
      <w:r>
        <w:lastRenderedPageBreak/>
        <w:t>critical parts of the project which lowers the risk of the project. There are prospective offerors, and costs can be equitably predicted. Hence the award should be made based on the firm-fixed-price deal, so there is no inclination to pay for higher quality and performance.</w:t>
      </w:r>
    </w:p>
    <w:p w14:paraId="7E3C9320" w14:textId="77777777" w:rsidR="0042246E" w:rsidRDefault="0042246E" w:rsidP="00D41E22">
      <w:pPr>
        <w:pStyle w:val="NormalWeb"/>
        <w:spacing w:before="0" w:beforeAutospacing="0" w:after="0" w:line="480" w:lineRule="auto"/>
        <w:ind w:firstLine="720"/>
        <w:contextualSpacing/>
      </w:pPr>
      <w:r>
        <w:t xml:space="preserve">The government appraises the lowest price technically acceptable proposals for "acceptability," but then it cannot rank the competing proposals using the non-cost aspects or else conduct a balance. In this case, the non-cost factors have no further purpose as they might be used in determining whether a proposal is acceptable only. Therefore, the price is the right discriminating factor as the government "anticipates" it can realize the best value from choosing the proposal that is acceptable technically and provides the lowest assessed price. In the case, the proposed factor would be selected is the cost. It is projected that costs for the whole project will be approximately $27 million. Under the LPTA process, all the other factors used in the evaluation other than price or costs are appraised on either as "acceptable" or "unacceptable" base and least priced proposal. </w:t>
      </w:r>
    </w:p>
    <w:p w14:paraId="74E53AFE" w14:textId="77777777" w:rsidR="0042246E" w:rsidRDefault="0042246E" w:rsidP="00D41E22">
      <w:pPr>
        <w:pStyle w:val="NormalWeb"/>
        <w:spacing w:before="0" w:beforeAutospacing="0" w:after="0" w:line="480" w:lineRule="auto"/>
        <w:ind w:firstLine="720"/>
        <w:contextualSpacing/>
      </w:pPr>
      <w:r>
        <w:t>Section 813 of National Defense Authorization Act necessitated changes to the Defense Federal Acquisition Regulations Supplement to reveal that the LPTA sourcing selection principles should be used only in circumstances where there is a fulfillment of the six factors listed below.  Afterward, there was a modification by Section 822 of the 2018 National Defense Authorization Act by adding two extra factors (</w:t>
      </w:r>
      <w:r w:rsidRPr="0042246E">
        <w:rPr>
          <w:rFonts w:hint="eastAsia"/>
        </w:rPr>
        <w:t>United States &amp; DiNapoli, 2017).</w:t>
      </w:r>
      <w:r>
        <w:rPr>
          <w:rFonts w:ascii="Arial Unicode MS" w:eastAsia="Arial Unicode MS" w:hAnsi="Arial Unicode MS" w:cs="Arial Unicode MS" w:hint="eastAsia"/>
          <w:color w:val="000000"/>
          <w:sz w:val="17"/>
          <w:szCs w:val="17"/>
          <w:shd w:val="clear" w:color="auto" w:fill="FFFFFF"/>
        </w:rPr>
        <w:t> </w:t>
      </w:r>
      <w:r>
        <w:t xml:space="preserve"> </w:t>
      </w:r>
    </w:p>
    <w:p w14:paraId="19151298" w14:textId="77777777" w:rsidR="0042246E" w:rsidRDefault="0042246E" w:rsidP="00D41E22">
      <w:pPr>
        <w:pStyle w:val="NormalWeb"/>
        <w:spacing w:before="0" w:beforeAutospacing="0" w:after="0" w:line="480" w:lineRule="auto"/>
        <w:ind w:firstLine="720"/>
        <w:contextualSpacing/>
      </w:pPr>
      <w:r>
        <w:t xml:space="preserve">1. The DoD can comprehensively and evidently define the least possible requirements that are articulated regarding performance standards, objectives, and measures, that will be applied in determining the </w:t>
      </w:r>
      <w:r w:rsidR="0043676C">
        <w:t>suitability</w:t>
      </w:r>
      <w:r>
        <w:t xml:space="preserve"> of the </w:t>
      </w:r>
      <w:r w:rsidR="0043676C">
        <w:t>proposals</w:t>
      </w:r>
      <w:r w:rsidR="009D2600">
        <w:t>. In the case, the project is an extremely intricate noncommercial system that will be used in handling financial transactions pertaining payment of the employees’ payment as Veteran Affairs</w:t>
      </w:r>
      <w:r w:rsidR="006B6322">
        <w:t xml:space="preserve"> unit</w:t>
      </w:r>
      <w:r w:rsidR="009D2600">
        <w:t xml:space="preserve"> converts its payroll system.</w:t>
      </w:r>
    </w:p>
    <w:p w14:paraId="58770F7C" w14:textId="77777777" w:rsidR="0042246E" w:rsidRDefault="0042246E" w:rsidP="00D41E22">
      <w:pPr>
        <w:pStyle w:val="NormalWeb"/>
        <w:spacing w:before="0" w:beforeAutospacing="0" w:after="0" w:line="480" w:lineRule="auto"/>
        <w:ind w:firstLine="720"/>
        <w:contextualSpacing/>
      </w:pPr>
      <w:r>
        <w:lastRenderedPageBreak/>
        <w:t>2.  The DoD</w:t>
      </w:r>
      <w:r w:rsidR="0043676C">
        <w:t xml:space="preserve"> can </w:t>
      </w:r>
      <w:r>
        <w:t xml:space="preserve">gain </w:t>
      </w:r>
      <w:r w:rsidR="009D2600">
        <w:t>no, or nominal, the value from an</w:t>
      </w:r>
      <w:r>
        <w:t xml:space="preserve"> </w:t>
      </w:r>
      <w:r w:rsidR="0043676C">
        <w:t>offer</w:t>
      </w:r>
      <w:r>
        <w:t xml:space="preserve"> surpassing the least technical and performance </w:t>
      </w:r>
      <w:r w:rsidR="0043676C">
        <w:t>requests</w:t>
      </w:r>
      <w:r>
        <w:t xml:space="preserve"> de</w:t>
      </w:r>
      <w:r w:rsidR="009D2600">
        <w:t>scribed in the proposal request.</w:t>
      </w:r>
      <w:r w:rsidR="009D2600" w:rsidRPr="009D2600">
        <w:t xml:space="preserve"> </w:t>
      </w:r>
      <w:r w:rsidR="009D2600">
        <w:t xml:space="preserve">The Central Office personnel has established that there is no other government agency will be accessible to handle the department’s financial transactions in the conversion time. This infers that the department can gain no value from offers that would surpass the least technical and performance requests as preference would have been offered to </w:t>
      </w:r>
      <w:r w:rsidR="006B6322">
        <w:t>the other agencies.</w:t>
      </w:r>
    </w:p>
    <w:p w14:paraId="6A99DFB6" w14:textId="77777777" w:rsidR="006B6322" w:rsidRDefault="0042246E" w:rsidP="00D41E22">
      <w:pPr>
        <w:pStyle w:val="NormalWeb"/>
        <w:spacing w:before="0" w:beforeAutospacing="0" w:after="0" w:line="480" w:lineRule="auto"/>
        <w:ind w:firstLine="720"/>
        <w:contextualSpacing/>
      </w:pPr>
      <w:r>
        <w:t>3.  The suggested technical methods will necessitate no, or nominal, subjective conclusion by the source's selection authority as to the appeal of an offeror's proposal</w:t>
      </w:r>
      <w:r w:rsidR="009D2600">
        <w:t xml:space="preserve"> against the competing proposal.</w:t>
      </w:r>
      <w:r w:rsidR="009D2600" w:rsidRPr="009D2600">
        <w:t xml:space="preserve"> </w:t>
      </w:r>
      <w:r w:rsidR="009D2600">
        <w:t>The project will need subsystems, such as commercially available software and hardware, and broad programming</w:t>
      </w:r>
      <w:r w:rsidR="006B6322">
        <w:t xml:space="preserve"> that is commercially available. It is anticipated that the winning proposal will use some subcontractors to execute critical parts of the project.</w:t>
      </w:r>
    </w:p>
    <w:p w14:paraId="2C2836E3" w14:textId="77777777" w:rsidR="0042246E" w:rsidRDefault="0042246E" w:rsidP="00D41E22">
      <w:pPr>
        <w:pStyle w:val="NormalWeb"/>
        <w:spacing w:before="0" w:beforeAutospacing="0" w:after="0" w:line="480" w:lineRule="auto"/>
        <w:ind w:firstLine="720"/>
        <w:contextualSpacing/>
      </w:pPr>
      <w:r>
        <w:t>4.  The source's selection authority has a higher degree of assurance that the appraisal of technical proposals other than the lowermost bidder would not lead to the recognition of factor</w:t>
      </w:r>
      <w:r w:rsidR="009D2600">
        <w:t>s that provide value to the DoD.</w:t>
      </w:r>
      <w:r w:rsidR="006B6322">
        <w:t xml:space="preserve"> There are prospective offerors, and costs can be equitably predicted. The final award should be made based on the firm-fixed-price deal, so there is no inclination to pay for higher quality and performance.</w:t>
      </w:r>
    </w:p>
    <w:p w14:paraId="1DCE8047" w14:textId="77777777" w:rsidR="0042246E" w:rsidRDefault="0042246E" w:rsidP="00D41E22">
      <w:pPr>
        <w:pStyle w:val="NormalWeb"/>
        <w:spacing w:before="0" w:beforeAutospacing="0" w:after="0" w:line="480" w:lineRule="auto"/>
        <w:ind w:firstLine="720"/>
        <w:contextualSpacing/>
      </w:pPr>
      <w:r>
        <w:t xml:space="preserve">5.  The </w:t>
      </w:r>
      <w:r w:rsidR="0043676C">
        <w:t xml:space="preserve">DOD </w:t>
      </w:r>
      <w:r>
        <w:t>contr</w:t>
      </w:r>
      <w:r w:rsidR="0043676C">
        <w:t>acting officer should include an account</w:t>
      </w:r>
      <w:r>
        <w:t xml:space="preserve"> for the usage of LPTA assessment methodology in the</w:t>
      </w:r>
      <w:r w:rsidR="0043676C">
        <w:t xml:space="preserve"> request</w:t>
      </w:r>
      <w:r w:rsidR="009D2600">
        <w:t xml:space="preserve"> file. </w:t>
      </w:r>
      <w:r w:rsidR="006B6322">
        <w:t>A "laundry list" of projected evaluation factors was drafted by the chair of the technical evaluation team as the basis of consideration.</w:t>
      </w:r>
    </w:p>
    <w:p w14:paraId="161BE728" w14:textId="7FFB548A" w:rsidR="0042246E" w:rsidRDefault="0042246E" w:rsidP="00D41E22">
      <w:pPr>
        <w:pStyle w:val="NormalWeb"/>
        <w:spacing w:before="0" w:beforeAutospacing="0" w:after="0" w:line="480" w:lineRule="auto"/>
        <w:ind w:firstLine="720"/>
        <w:contextualSpacing/>
      </w:pPr>
      <w:r>
        <w:t>6.  DOD determines that the lowest pricing replicates full lifecycle costs, co</w:t>
      </w:r>
      <w:r w:rsidR="006B6322">
        <w:t>mprising support and operations.</w:t>
      </w:r>
      <w:r w:rsidR="006B6322" w:rsidRPr="006B6322">
        <w:t xml:space="preserve"> </w:t>
      </w:r>
      <w:r w:rsidR="006B6322">
        <w:t>It is projected that costs for the project will be $27 million.</w:t>
      </w:r>
    </w:p>
    <w:p w14:paraId="477FA852" w14:textId="77777777" w:rsidR="0042246E" w:rsidRDefault="0042246E" w:rsidP="00D41E22">
      <w:pPr>
        <w:pStyle w:val="NormalWeb"/>
        <w:spacing w:before="0" w:beforeAutospacing="0" w:after="0" w:line="480" w:lineRule="auto"/>
        <w:ind w:firstLine="720"/>
        <w:contextualSpacing/>
      </w:pPr>
      <w:r>
        <w:lastRenderedPageBreak/>
        <w:t>7.  The DOD would gain no, or marginal, extra innovations or prospect technological advantages by</w:t>
      </w:r>
      <w:r w:rsidR="006B6322">
        <w:t xml:space="preserve"> using different methodologies. The system will handle only the payroll financial transactions during the conversion phase it will not be used to modify the current payroll system.</w:t>
      </w:r>
    </w:p>
    <w:p w14:paraId="68ACAEC7" w14:textId="77777777" w:rsidR="00AC6D07" w:rsidRDefault="0042246E" w:rsidP="00D41E22">
      <w:pPr>
        <w:pStyle w:val="NormalWeb"/>
        <w:spacing w:before="0" w:beforeAutospacing="0" w:after="0" w:line="480" w:lineRule="auto"/>
        <w:ind w:firstLine="720"/>
        <w:contextualSpacing/>
      </w:pPr>
      <w:r>
        <w:t>8.  Concerning contracts for good's procurement, the goods acquired are mostly dispensable, non-technical, or short shelf life.</w:t>
      </w:r>
      <w:r w:rsidR="006B6322" w:rsidRPr="006B6322">
        <w:t xml:space="preserve"> </w:t>
      </w:r>
      <w:r w:rsidR="006B6322">
        <w:t>The system will be used briefly during the transition as the department upgrades its payroll system.</w:t>
      </w:r>
    </w:p>
    <w:p w14:paraId="4AE8B5D4" w14:textId="77777777" w:rsidR="00AC6D07" w:rsidRDefault="00AC6D07" w:rsidP="00D41E22">
      <w:pPr>
        <w:pStyle w:val="NormalWeb"/>
        <w:spacing w:before="0" w:beforeAutospacing="0" w:line="480" w:lineRule="auto"/>
        <w:contextualSpacing/>
        <w:jc w:val="center"/>
      </w:pPr>
      <w:r>
        <w:br w:type="page"/>
      </w:r>
    </w:p>
    <w:p w14:paraId="45D5111D" w14:textId="5032E0D9" w:rsidR="0042246E" w:rsidRDefault="0042246E" w:rsidP="00D41E22">
      <w:pPr>
        <w:pStyle w:val="NormalWeb"/>
        <w:spacing w:before="0" w:beforeAutospacing="0" w:line="480" w:lineRule="auto"/>
        <w:contextualSpacing/>
        <w:jc w:val="center"/>
      </w:pPr>
      <w:r>
        <w:lastRenderedPageBreak/>
        <w:t>References</w:t>
      </w:r>
    </w:p>
    <w:p w14:paraId="19FE5F74" w14:textId="3BB8217E" w:rsidR="005C2AB3" w:rsidRPr="005C2AB3" w:rsidRDefault="005C2AB3" w:rsidP="00D41E22">
      <w:pPr>
        <w:pStyle w:val="NormalWeb"/>
        <w:spacing w:line="480" w:lineRule="auto"/>
        <w:ind w:left="720" w:hanging="720"/>
        <w:contextualSpacing/>
      </w:pPr>
      <w:r w:rsidRPr="005C2AB3">
        <w:rPr>
          <w:rFonts w:eastAsia="Arial Unicode MS"/>
          <w:color w:val="000000"/>
          <w:shd w:val="clear" w:color="auto" w:fill="FFFFFF"/>
        </w:rPr>
        <w:t>Petek, S., Kerstein, H., Kuhn, J., Taylor, M., &amp; California. (2017). </w:t>
      </w:r>
      <w:r w:rsidRPr="005C2AB3">
        <w:rPr>
          <w:rFonts w:eastAsia="Arial Unicode MS"/>
          <w:i/>
          <w:iCs/>
          <w:color w:val="000000"/>
          <w:shd w:val="clear" w:color="auto" w:fill="FFFFFF"/>
        </w:rPr>
        <w:t xml:space="preserve">CCC and UC: </w:t>
      </w:r>
      <w:r w:rsidRPr="00AC6D07">
        <w:rPr>
          <w:rFonts w:eastAsia="Arial Unicode MS"/>
          <w:iCs/>
          <w:color w:val="000000"/>
          <w:shd w:val="clear" w:color="auto" w:fill="FFFFFF"/>
        </w:rPr>
        <w:t>An evaluation of best value procurement pilot programs</w:t>
      </w:r>
      <w:r w:rsidRPr="005C2AB3">
        <w:rPr>
          <w:rFonts w:eastAsia="Arial Unicode MS"/>
          <w:color w:val="000000"/>
          <w:shd w:val="clear" w:color="auto" w:fill="FFFFFF"/>
        </w:rPr>
        <w:t>. Sacramento, California: Legislative Analyst's Office</w:t>
      </w:r>
    </w:p>
    <w:p w14:paraId="4EA0976B" w14:textId="77777777" w:rsidR="005C2AB3" w:rsidRPr="005C2AB3" w:rsidRDefault="005C2AB3" w:rsidP="00D41E22">
      <w:pPr>
        <w:pStyle w:val="NormalWeb"/>
        <w:spacing w:line="480" w:lineRule="auto"/>
        <w:ind w:left="720" w:hanging="720"/>
        <w:contextualSpacing/>
      </w:pPr>
      <w:r w:rsidRPr="005C2AB3">
        <w:rPr>
          <w:rFonts w:eastAsia="Arial Unicode MS"/>
          <w:color w:val="000000"/>
          <w:shd w:val="clear" w:color="auto" w:fill="FFFFFF"/>
        </w:rPr>
        <w:t>Rendon, Rene G., Landale, Karen, Graduate School of Business and Public Policy (GSBPP), Hill, David W., Odom, David F., Osman, Jamal M., &amp; Paulk, Wesley J. (2016). </w:t>
      </w:r>
      <w:r w:rsidRPr="00043614">
        <w:rPr>
          <w:rFonts w:eastAsia="Arial Unicode MS"/>
          <w:iCs/>
          <w:color w:val="000000"/>
          <w:shd w:val="clear" w:color="auto" w:fill="FFFFFF"/>
        </w:rPr>
        <w:t>Contract source selection: an analysis of lowest price technically acceptable and tradeoff strategies</w:t>
      </w:r>
      <w:r w:rsidRPr="005C2AB3">
        <w:rPr>
          <w:rFonts w:eastAsia="Arial Unicode MS"/>
          <w:color w:val="000000"/>
          <w:shd w:val="clear" w:color="auto" w:fill="FFFFFF"/>
        </w:rPr>
        <w:t>. Monterey, California: Naval Postgraduate School</w:t>
      </w:r>
    </w:p>
    <w:p w14:paraId="01DDB925" w14:textId="2A37DA22" w:rsidR="0042246E" w:rsidRPr="005C2AB3" w:rsidRDefault="0042246E" w:rsidP="00D41E22">
      <w:pPr>
        <w:pStyle w:val="NormalWeb"/>
        <w:spacing w:line="480" w:lineRule="auto"/>
        <w:ind w:left="720" w:hanging="720"/>
        <w:contextualSpacing/>
        <w:rPr>
          <w:rFonts w:eastAsia="Arial Unicode MS"/>
          <w:color w:val="000000"/>
          <w:shd w:val="clear" w:color="auto" w:fill="FFFFFF"/>
        </w:rPr>
      </w:pPr>
      <w:r w:rsidRPr="005C2AB3">
        <w:rPr>
          <w:rFonts w:eastAsia="Arial Unicode MS"/>
          <w:color w:val="000000"/>
          <w:shd w:val="clear" w:color="auto" w:fill="FFFFFF"/>
        </w:rPr>
        <w:t>United States., &amp; DiNapoli, T. J. (2017). </w:t>
      </w:r>
      <w:r w:rsidRPr="00043614">
        <w:rPr>
          <w:rFonts w:eastAsia="Arial Unicode MS"/>
          <w:iCs/>
          <w:color w:val="000000"/>
          <w:shd w:val="clear" w:color="auto" w:fill="FFFFFF"/>
        </w:rPr>
        <w:t>Defense contracting: DOD's use of lowest price technically acceptable sour</w:t>
      </w:r>
      <w:r w:rsidR="00043614" w:rsidRPr="00043614">
        <w:rPr>
          <w:rFonts w:eastAsia="Arial Unicode MS"/>
          <w:iCs/>
          <w:color w:val="000000"/>
          <w:shd w:val="clear" w:color="auto" w:fill="FFFFFF"/>
        </w:rPr>
        <w:t>c</w:t>
      </w:r>
      <w:r w:rsidRPr="00043614">
        <w:rPr>
          <w:rFonts w:eastAsia="Arial Unicode MS"/>
          <w:iCs/>
          <w:color w:val="000000"/>
          <w:shd w:val="clear" w:color="auto" w:fill="FFFFFF"/>
        </w:rPr>
        <w:t>e selection procedures to acquire selected services: report to congressional committees</w:t>
      </w:r>
      <w:r w:rsidRPr="00043614">
        <w:rPr>
          <w:rFonts w:eastAsia="Arial Unicode MS"/>
          <w:color w:val="000000"/>
          <w:shd w:val="clear" w:color="auto" w:fill="FFFFFF"/>
        </w:rPr>
        <w:t>.</w:t>
      </w:r>
      <w:r w:rsidRPr="005C2AB3">
        <w:rPr>
          <w:rFonts w:eastAsia="Arial Unicode MS"/>
          <w:color w:val="000000"/>
          <w:shd w:val="clear" w:color="auto" w:fill="FFFFFF"/>
        </w:rPr>
        <w:t xml:space="preserve"> Washington, D.C.: United States Government Accountability Office.</w:t>
      </w:r>
    </w:p>
    <w:p w14:paraId="35561E7F" w14:textId="3A5C033C" w:rsidR="0082269D" w:rsidRPr="00043614" w:rsidRDefault="0042246E" w:rsidP="00D41E22">
      <w:pPr>
        <w:pStyle w:val="NormalWeb"/>
        <w:spacing w:line="480" w:lineRule="auto"/>
        <w:ind w:left="720" w:hanging="720"/>
        <w:contextualSpacing/>
      </w:pPr>
      <w:r w:rsidRPr="005C2AB3">
        <w:rPr>
          <w:rFonts w:eastAsia="Arial Unicode MS"/>
          <w:color w:val="000000"/>
          <w:shd w:val="clear" w:color="auto" w:fill="FFFFFF"/>
        </w:rPr>
        <w:t>United States. (2014). </w:t>
      </w:r>
      <w:r w:rsidRPr="00043614">
        <w:rPr>
          <w:rFonts w:eastAsia="Arial Unicode MS"/>
          <w:iCs/>
          <w:color w:val="000000"/>
          <w:shd w:val="clear" w:color="auto" w:fill="FFFFFF"/>
        </w:rPr>
        <w:t>Defense contracting, factors DOD considers when choosing best value processes are consistent with guidance for selected acquisitions: Report to congressional committees</w:t>
      </w:r>
      <w:r w:rsidRPr="00043614">
        <w:rPr>
          <w:rFonts w:eastAsia="Arial Unicode MS"/>
          <w:color w:val="000000"/>
          <w:shd w:val="clear" w:color="auto" w:fill="FFFFFF"/>
        </w:rPr>
        <w:t>.</w:t>
      </w:r>
    </w:p>
    <w:sectPr w:rsidR="0082269D" w:rsidRPr="00043614" w:rsidSect="008B28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7812A" w14:textId="77777777" w:rsidR="00190AEE" w:rsidRDefault="00190AEE" w:rsidP="008B281B">
      <w:pPr>
        <w:spacing w:after="0" w:line="240" w:lineRule="auto"/>
      </w:pPr>
      <w:r>
        <w:separator/>
      </w:r>
    </w:p>
  </w:endnote>
  <w:endnote w:type="continuationSeparator" w:id="0">
    <w:p w14:paraId="530BB14B" w14:textId="77777777" w:rsidR="00190AEE" w:rsidRDefault="00190AEE"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2295F5" w14:textId="77777777" w:rsidR="00190AEE" w:rsidRDefault="00190AEE" w:rsidP="008B281B">
      <w:pPr>
        <w:spacing w:after="0" w:line="240" w:lineRule="auto"/>
      </w:pPr>
      <w:r>
        <w:separator/>
      </w:r>
    </w:p>
  </w:footnote>
  <w:footnote w:type="continuationSeparator" w:id="0">
    <w:p w14:paraId="63F1A9EE" w14:textId="77777777" w:rsidR="00190AEE" w:rsidRDefault="00190AEE" w:rsidP="008B2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BF61F" w14:textId="77777777" w:rsidR="006E275B" w:rsidRPr="009C1F4A" w:rsidRDefault="009C1F4A" w:rsidP="009C1F4A">
    <w:pPr>
      <w:spacing w:before="240"/>
    </w:pPr>
    <w:r w:rsidRPr="009C1F4A">
      <w:rPr>
        <w:rFonts w:ascii="Times New Roman" w:hAnsi="Times New Roman" w:cs="Times New Roman"/>
        <w:sz w:val="24"/>
        <w:szCs w:val="24"/>
      </w:rPr>
      <w:t xml:space="preserve">LPTA SOURCE SELECTION PROCESS </w:t>
    </w:r>
    <w:r w:rsidR="00BB66CE">
      <w:rPr>
        <w:rFonts w:ascii="Times New Roman" w:hAnsi="Times New Roman" w:cs="Times New Roman"/>
        <w:sz w:val="24"/>
        <w:szCs w:val="24"/>
      </w:rPr>
      <w:tab/>
    </w:r>
    <w:r w:rsidR="00BB66C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B66CE">
      <w:rPr>
        <w:rFonts w:ascii="Times New Roman" w:hAnsi="Times New Roman" w:cs="Times New Roman"/>
        <w:sz w:val="24"/>
        <w:szCs w:val="24"/>
      </w:rPr>
      <w:tab/>
    </w:r>
    <w:r w:rsidR="00BB66CE">
      <w:rPr>
        <w:rFonts w:ascii="Times New Roman" w:hAnsi="Times New Roman" w:cs="Times New Roman"/>
        <w:sz w:val="24"/>
        <w:szCs w:val="24"/>
      </w:rPr>
      <w:tab/>
    </w:r>
    <w:sdt>
      <w:sdtPr>
        <w:rPr>
          <w:rFonts w:ascii="Times New Roman" w:hAnsi="Times New Roman" w:cs="Times New Roman"/>
          <w:sz w:val="24"/>
          <w:szCs w:val="24"/>
        </w:rPr>
        <w:id w:val="-927184252"/>
        <w:docPartObj>
          <w:docPartGallery w:val="Page Numbers (Top of Page)"/>
          <w:docPartUnique/>
        </w:docPartObj>
      </w:sdtPr>
      <w:sdtEndPr>
        <w:rPr>
          <w:noProof/>
        </w:rPr>
      </w:sdtEndPr>
      <w:sdtContent>
        <w:r w:rsidR="00BB66CE" w:rsidRPr="00BB66CE">
          <w:rPr>
            <w:rFonts w:ascii="Times New Roman" w:hAnsi="Times New Roman" w:cs="Times New Roman"/>
            <w:sz w:val="24"/>
            <w:szCs w:val="24"/>
          </w:rPr>
          <w:fldChar w:fldCharType="begin"/>
        </w:r>
        <w:r w:rsidR="00BB66CE" w:rsidRPr="00BB66CE">
          <w:rPr>
            <w:rFonts w:ascii="Times New Roman" w:hAnsi="Times New Roman" w:cs="Times New Roman"/>
            <w:sz w:val="24"/>
            <w:szCs w:val="24"/>
          </w:rPr>
          <w:instrText xml:space="preserve"> PAGE   \* MERGEFORMAT </w:instrText>
        </w:r>
        <w:r w:rsidR="00BB66CE" w:rsidRPr="00BB66CE">
          <w:rPr>
            <w:rFonts w:ascii="Times New Roman" w:hAnsi="Times New Roman" w:cs="Times New Roman"/>
            <w:sz w:val="24"/>
            <w:szCs w:val="24"/>
          </w:rPr>
          <w:fldChar w:fldCharType="separate"/>
        </w:r>
        <w:r w:rsidR="006B6322">
          <w:rPr>
            <w:rFonts w:ascii="Times New Roman" w:hAnsi="Times New Roman" w:cs="Times New Roman"/>
            <w:noProof/>
            <w:sz w:val="24"/>
            <w:szCs w:val="24"/>
          </w:rPr>
          <w:t>7</w:t>
        </w:r>
        <w:r w:rsidR="00BB66CE" w:rsidRPr="00BB66C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F6AE8" w14:textId="77777777" w:rsidR="006E275B" w:rsidRPr="009C1F4A" w:rsidRDefault="006E275B" w:rsidP="00F26C15">
    <w:pPr>
      <w:spacing w:before="240"/>
    </w:pPr>
    <w:r>
      <w:rPr>
        <w:rFonts w:ascii="Times New Roman" w:hAnsi="Times New Roman" w:cs="Times New Roman"/>
        <w:sz w:val="24"/>
        <w:szCs w:val="24"/>
      </w:rPr>
      <w:t>Running Head:</w:t>
    </w:r>
    <w:r w:rsidRPr="00BA4F61">
      <w:rPr>
        <w:rFonts w:ascii="Times New Roman" w:hAnsi="Times New Roman" w:cs="Times New Roman"/>
        <w:sz w:val="24"/>
        <w:szCs w:val="24"/>
      </w:rPr>
      <w:t xml:space="preserve"> </w:t>
    </w:r>
    <w:r w:rsidR="009C1F4A" w:rsidRPr="009C1F4A">
      <w:rPr>
        <w:rFonts w:ascii="Times New Roman" w:hAnsi="Times New Roman" w:cs="Times New Roman"/>
        <w:sz w:val="24"/>
        <w:szCs w:val="24"/>
      </w:rPr>
      <w:t>L</w:t>
    </w:r>
    <w:r w:rsidR="009C1F4A">
      <w:rPr>
        <w:rFonts w:ascii="Times New Roman" w:hAnsi="Times New Roman" w:cs="Times New Roman"/>
        <w:sz w:val="24"/>
        <w:szCs w:val="24"/>
      </w:rPr>
      <w:t>PTA SOURCE SELECTION PROCESS</w:t>
    </w:r>
    <w:r w:rsidR="009C1F4A">
      <w:rPr>
        <w:rFonts w:ascii="Times New Roman" w:hAnsi="Times New Roman" w:cs="Times New Roman"/>
        <w:sz w:val="24"/>
        <w:szCs w:val="24"/>
      </w:rPr>
      <w:tab/>
    </w:r>
    <w:r w:rsidR="009C1F4A">
      <w:rPr>
        <w:rFonts w:ascii="Times New Roman" w:hAnsi="Times New Roman" w:cs="Times New Roman"/>
        <w:sz w:val="24"/>
        <w:szCs w:val="24"/>
      </w:rPr>
      <w:tab/>
    </w:r>
    <w:r w:rsidR="009C1F4A">
      <w:rPr>
        <w:rFonts w:ascii="Times New Roman" w:hAnsi="Times New Roman" w:cs="Times New Roman"/>
        <w:sz w:val="24"/>
        <w:szCs w:val="24"/>
      </w:rPr>
      <w:tab/>
    </w:r>
    <w:r w:rsidR="009C1F4A">
      <w:rPr>
        <w:rFonts w:ascii="Times New Roman" w:hAnsi="Times New Roman" w:cs="Times New Roman"/>
        <w:sz w:val="24"/>
        <w:szCs w:val="24"/>
      </w:rPr>
      <w:tab/>
    </w:r>
    <w:r w:rsidR="0022692C">
      <w:rPr>
        <w:rFonts w:ascii="Times New Roman" w:hAnsi="Times New Roman" w:cs="Times New Roman"/>
        <w:sz w:val="24"/>
        <w:szCs w:val="24"/>
      </w:rPr>
      <w:t xml:space="preserve">             </w:t>
    </w:r>
    <w:r>
      <w:rPr>
        <w:rFonts w:ascii="Times New Roman" w:hAnsi="Times New Roman" w:cs="Times New Roman"/>
        <w:sz w:val="24"/>
        <w:szCs w:val="24"/>
      </w:rPr>
      <w:t xml:space="preserve"> </w:t>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5A3CFE">
          <w:rPr>
            <w:rFonts w:ascii="Times New Roman" w:hAnsi="Times New Roman" w:cs="Times New Roman"/>
            <w:sz w:val="24"/>
            <w:szCs w:val="24"/>
          </w:rPr>
          <w:fldChar w:fldCharType="begin"/>
        </w:r>
        <w:r w:rsidRPr="005A3CFE">
          <w:rPr>
            <w:rFonts w:ascii="Times New Roman" w:hAnsi="Times New Roman" w:cs="Times New Roman"/>
            <w:sz w:val="24"/>
            <w:szCs w:val="24"/>
          </w:rPr>
          <w:instrText xml:space="preserve"> PAGE   \* MERGEFORMAT </w:instrText>
        </w:r>
        <w:r w:rsidRPr="005A3CFE">
          <w:rPr>
            <w:rFonts w:ascii="Times New Roman" w:hAnsi="Times New Roman" w:cs="Times New Roman"/>
            <w:sz w:val="24"/>
            <w:szCs w:val="24"/>
          </w:rPr>
          <w:fldChar w:fldCharType="separate"/>
        </w:r>
        <w:r w:rsidR="006B6322">
          <w:rPr>
            <w:rFonts w:ascii="Times New Roman" w:hAnsi="Times New Roman" w:cs="Times New Roman"/>
            <w:noProof/>
            <w:sz w:val="24"/>
            <w:szCs w:val="24"/>
          </w:rPr>
          <w:t>1</w:t>
        </w:r>
        <w:r w:rsidRPr="005A3CF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FE328D"/>
    <w:multiLevelType w:val="multilevel"/>
    <w:tmpl w:val="31F4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625E82"/>
    <w:multiLevelType w:val="multilevel"/>
    <w:tmpl w:val="B220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9E68FB"/>
    <w:multiLevelType w:val="multilevel"/>
    <w:tmpl w:val="7B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E31A17"/>
    <w:multiLevelType w:val="multilevel"/>
    <w:tmpl w:val="24D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423716"/>
    <w:multiLevelType w:val="multilevel"/>
    <w:tmpl w:val="F640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3C49E8"/>
    <w:multiLevelType w:val="multilevel"/>
    <w:tmpl w:val="3B9E6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57826F63"/>
    <w:multiLevelType w:val="multilevel"/>
    <w:tmpl w:val="027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812AAF"/>
    <w:multiLevelType w:val="multilevel"/>
    <w:tmpl w:val="8D3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A32096"/>
    <w:multiLevelType w:val="multilevel"/>
    <w:tmpl w:val="953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7F9D0EB1"/>
    <w:multiLevelType w:val="multilevel"/>
    <w:tmpl w:val="79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26"/>
  </w:num>
  <w:num w:numId="3">
    <w:abstractNumId w:val="13"/>
  </w:num>
  <w:num w:numId="4">
    <w:abstractNumId w:val="6"/>
  </w:num>
  <w:num w:numId="5">
    <w:abstractNumId w:val="24"/>
  </w:num>
  <w:num w:numId="6">
    <w:abstractNumId w:val="7"/>
  </w:num>
  <w:num w:numId="7">
    <w:abstractNumId w:val="11"/>
  </w:num>
  <w:num w:numId="8">
    <w:abstractNumId w:val="18"/>
  </w:num>
  <w:num w:numId="9">
    <w:abstractNumId w:val="36"/>
  </w:num>
  <w:num w:numId="10">
    <w:abstractNumId w:val="20"/>
  </w:num>
  <w:num w:numId="11">
    <w:abstractNumId w:val="19"/>
  </w:num>
  <w:num w:numId="12">
    <w:abstractNumId w:val="34"/>
  </w:num>
  <w:num w:numId="13">
    <w:abstractNumId w:val="8"/>
  </w:num>
  <w:num w:numId="14">
    <w:abstractNumId w:val="29"/>
  </w:num>
  <w:num w:numId="15">
    <w:abstractNumId w:val="33"/>
  </w:num>
  <w:num w:numId="16">
    <w:abstractNumId w:val="3"/>
  </w:num>
  <w:num w:numId="17">
    <w:abstractNumId w:val="14"/>
  </w:num>
  <w:num w:numId="18">
    <w:abstractNumId w:val="0"/>
  </w:num>
  <w:num w:numId="19">
    <w:abstractNumId w:val="4"/>
  </w:num>
  <w:num w:numId="20">
    <w:abstractNumId w:val="30"/>
  </w:num>
  <w:num w:numId="21">
    <w:abstractNumId w:val="12"/>
  </w:num>
  <w:num w:numId="22">
    <w:abstractNumId w:val="9"/>
  </w:num>
  <w:num w:numId="23">
    <w:abstractNumId w:val="27"/>
  </w:num>
  <w:num w:numId="24">
    <w:abstractNumId w:val="2"/>
  </w:num>
  <w:num w:numId="25">
    <w:abstractNumId w:val="23"/>
  </w:num>
  <w:num w:numId="26">
    <w:abstractNumId w:val="28"/>
  </w:num>
  <w:num w:numId="27">
    <w:abstractNumId w:val="16"/>
  </w:num>
  <w:num w:numId="28">
    <w:abstractNumId w:val="5"/>
  </w:num>
  <w:num w:numId="29">
    <w:abstractNumId w:val="21"/>
  </w:num>
  <w:num w:numId="30">
    <w:abstractNumId w:val="25"/>
  </w:num>
  <w:num w:numId="31">
    <w:abstractNumId w:val="17"/>
  </w:num>
  <w:num w:numId="32">
    <w:abstractNumId w:val="31"/>
  </w:num>
  <w:num w:numId="33">
    <w:abstractNumId w:val="10"/>
  </w:num>
  <w:num w:numId="34">
    <w:abstractNumId w:val="1"/>
  </w:num>
  <w:num w:numId="35">
    <w:abstractNumId w:val="32"/>
  </w:num>
  <w:num w:numId="36">
    <w:abstractNumId w:val="3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43614"/>
    <w:rsid w:val="00047582"/>
    <w:rsid w:val="00055A2C"/>
    <w:rsid w:val="000656CB"/>
    <w:rsid w:val="00081CC8"/>
    <w:rsid w:val="000900B5"/>
    <w:rsid w:val="00092027"/>
    <w:rsid w:val="000973B1"/>
    <w:rsid w:val="000C4550"/>
    <w:rsid w:val="000C463B"/>
    <w:rsid w:val="000E12AA"/>
    <w:rsid w:val="000F097C"/>
    <w:rsid w:val="00104EB7"/>
    <w:rsid w:val="0011160C"/>
    <w:rsid w:val="0013612E"/>
    <w:rsid w:val="00146F0B"/>
    <w:rsid w:val="00190AEE"/>
    <w:rsid w:val="001B078D"/>
    <w:rsid w:val="001F1827"/>
    <w:rsid w:val="002018DE"/>
    <w:rsid w:val="00216EC7"/>
    <w:rsid w:val="0022692C"/>
    <w:rsid w:val="002416EB"/>
    <w:rsid w:val="0025733D"/>
    <w:rsid w:val="0025779F"/>
    <w:rsid w:val="002664EA"/>
    <w:rsid w:val="00271F2C"/>
    <w:rsid w:val="0029203C"/>
    <w:rsid w:val="002A7388"/>
    <w:rsid w:val="002D442F"/>
    <w:rsid w:val="00306887"/>
    <w:rsid w:val="0033516E"/>
    <w:rsid w:val="00343DD9"/>
    <w:rsid w:val="00366D9A"/>
    <w:rsid w:val="00373A6A"/>
    <w:rsid w:val="003C2C37"/>
    <w:rsid w:val="003D73FC"/>
    <w:rsid w:val="003E2F97"/>
    <w:rsid w:val="003F15E4"/>
    <w:rsid w:val="00403C36"/>
    <w:rsid w:val="00405D7C"/>
    <w:rsid w:val="00415403"/>
    <w:rsid w:val="0042246E"/>
    <w:rsid w:val="0043676C"/>
    <w:rsid w:val="00456306"/>
    <w:rsid w:val="004564E8"/>
    <w:rsid w:val="00494347"/>
    <w:rsid w:val="004A3933"/>
    <w:rsid w:val="004A5EAB"/>
    <w:rsid w:val="004C7A0B"/>
    <w:rsid w:val="004D660F"/>
    <w:rsid w:val="004E0ABC"/>
    <w:rsid w:val="004E3F05"/>
    <w:rsid w:val="00513459"/>
    <w:rsid w:val="005231E8"/>
    <w:rsid w:val="00526504"/>
    <w:rsid w:val="00536B6E"/>
    <w:rsid w:val="005373B7"/>
    <w:rsid w:val="00541D6F"/>
    <w:rsid w:val="0057628A"/>
    <w:rsid w:val="005A3CFE"/>
    <w:rsid w:val="005B3BDA"/>
    <w:rsid w:val="005B72E0"/>
    <w:rsid w:val="005C2AB3"/>
    <w:rsid w:val="00607D9E"/>
    <w:rsid w:val="006131F1"/>
    <w:rsid w:val="00621C8F"/>
    <w:rsid w:val="00624918"/>
    <w:rsid w:val="00633D59"/>
    <w:rsid w:val="006643D6"/>
    <w:rsid w:val="006807FC"/>
    <w:rsid w:val="00691A75"/>
    <w:rsid w:val="00696739"/>
    <w:rsid w:val="006A05C5"/>
    <w:rsid w:val="006A2985"/>
    <w:rsid w:val="006B19A0"/>
    <w:rsid w:val="006B6322"/>
    <w:rsid w:val="006B7906"/>
    <w:rsid w:val="006D5F6A"/>
    <w:rsid w:val="006D6C4D"/>
    <w:rsid w:val="006E275B"/>
    <w:rsid w:val="006E7DA5"/>
    <w:rsid w:val="007077BB"/>
    <w:rsid w:val="00715BDA"/>
    <w:rsid w:val="007173D1"/>
    <w:rsid w:val="00742828"/>
    <w:rsid w:val="00756D94"/>
    <w:rsid w:val="007875DF"/>
    <w:rsid w:val="007A4705"/>
    <w:rsid w:val="007A5870"/>
    <w:rsid w:val="007B3D85"/>
    <w:rsid w:val="007D26D3"/>
    <w:rsid w:val="007D5010"/>
    <w:rsid w:val="007D690D"/>
    <w:rsid w:val="007E153F"/>
    <w:rsid w:val="0082269D"/>
    <w:rsid w:val="00824566"/>
    <w:rsid w:val="00831E7B"/>
    <w:rsid w:val="0084150D"/>
    <w:rsid w:val="00897D86"/>
    <w:rsid w:val="008B281B"/>
    <w:rsid w:val="008C10AD"/>
    <w:rsid w:val="008C284C"/>
    <w:rsid w:val="008C4164"/>
    <w:rsid w:val="008E2F6F"/>
    <w:rsid w:val="00900FB7"/>
    <w:rsid w:val="009012A6"/>
    <w:rsid w:val="009047ED"/>
    <w:rsid w:val="009069A5"/>
    <w:rsid w:val="00914296"/>
    <w:rsid w:val="0092552D"/>
    <w:rsid w:val="00942C45"/>
    <w:rsid w:val="009A5F68"/>
    <w:rsid w:val="009A7EBB"/>
    <w:rsid w:val="009C1F4A"/>
    <w:rsid w:val="009C41FB"/>
    <w:rsid w:val="009D2600"/>
    <w:rsid w:val="009F0C26"/>
    <w:rsid w:val="00A13EAA"/>
    <w:rsid w:val="00A26EC7"/>
    <w:rsid w:val="00A27E84"/>
    <w:rsid w:val="00A478FB"/>
    <w:rsid w:val="00A47C64"/>
    <w:rsid w:val="00A538E4"/>
    <w:rsid w:val="00A541EC"/>
    <w:rsid w:val="00A67A9E"/>
    <w:rsid w:val="00A7149B"/>
    <w:rsid w:val="00A77A54"/>
    <w:rsid w:val="00A948A7"/>
    <w:rsid w:val="00AC6D07"/>
    <w:rsid w:val="00AD1354"/>
    <w:rsid w:val="00AD3A6B"/>
    <w:rsid w:val="00AF133D"/>
    <w:rsid w:val="00B02305"/>
    <w:rsid w:val="00B17439"/>
    <w:rsid w:val="00B23463"/>
    <w:rsid w:val="00B246AA"/>
    <w:rsid w:val="00B8169A"/>
    <w:rsid w:val="00B872FA"/>
    <w:rsid w:val="00BA446A"/>
    <w:rsid w:val="00BA4F61"/>
    <w:rsid w:val="00BA7A58"/>
    <w:rsid w:val="00BB66CE"/>
    <w:rsid w:val="00BC2353"/>
    <w:rsid w:val="00BC6CF6"/>
    <w:rsid w:val="00BD24E8"/>
    <w:rsid w:val="00BD2F51"/>
    <w:rsid w:val="00C01F45"/>
    <w:rsid w:val="00C0245D"/>
    <w:rsid w:val="00C17ADE"/>
    <w:rsid w:val="00C3529A"/>
    <w:rsid w:val="00C52F44"/>
    <w:rsid w:val="00C73E7D"/>
    <w:rsid w:val="00C81336"/>
    <w:rsid w:val="00C915C2"/>
    <w:rsid w:val="00CB0ED5"/>
    <w:rsid w:val="00CE2E41"/>
    <w:rsid w:val="00CF2A44"/>
    <w:rsid w:val="00D134C4"/>
    <w:rsid w:val="00D13875"/>
    <w:rsid w:val="00D22E62"/>
    <w:rsid w:val="00D237B8"/>
    <w:rsid w:val="00D339CC"/>
    <w:rsid w:val="00D41E22"/>
    <w:rsid w:val="00D42EBD"/>
    <w:rsid w:val="00D44061"/>
    <w:rsid w:val="00D55CD0"/>
    <w:rsid w:val="00D5757D"/>
    <w:rsid w:val="00D65E46"/>
    <w:rsid w:val="00D76CC2"/>
    <w:rsid w:val="00D80EBB"/>
    <w:rsid w:val="00D83F5C"/>
    <w:rsid w:val="00D86E84"/>
    <w:rsid w:val="00D92AAF"/>
    <w:rsid w:val="00D94061"/>
    <w:rsid w:val="00DC29FD"/>
    <w:rsid w:val="00DD15AE"/>
    <w:rsid w:val="00E23113"/>
    <w:rsid w:val="00E43FD2"/>
    <w:rsid w:val="00E44F53"/>
    <w:rsid w:val="00E525AA"/>
    <w:rsid w:val="00E53A8B"/>
    <w:rsid w:val="00E9109E"/>
    <w:rsid w:val="00E97498"/>
    <w:rsid w:val="00EB2DBE"/>
    <w:rsid w:val="00EC1152"/>
    <w:rsid w:val="00EC2965"/>
    <w:rsid w:val="00EC60AA"/>
    <w:rsid w:val="00ED0CE6"/>
    <w:rsid w:val="00F05A8F"/>
    <w:rsid w:val="00F20A65"/>
    <w:rsid w:val="00F26C15"/>
    <w:rsid w:val="00F41A5B"/>
    <w:rsid w:val="00F44550"/>
    <w:rsid w:val="00F56BE7"/>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83B23"/>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4F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34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A4F6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134C4"/>
    <w:rPr>
      <w:rFonts w:asciiTheme="majorHAnsi" w:eastAsiaTheme="majorEastAsia" w:hAnsiTheme="majorHAnsi" w:cstheme="majorBidi"/>
      <w:color w:val="365F91" w:themeColor="accent1" w:themeShade="BF"/>
    </w:rPr>
  </w:style>
  <w:style w:type="paragraph" w:customStyle="1" w:styleId="graf">
    <w:name w:val="graf"/>
    <w:basedOn w:val="Normal"/>
    <w:rsid w:val="00ED0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22692C"/>
  </w:style>
  <w:style w:type="character" w:customStyle="1" w:styleId="glossarycontent">
    <w:name w:val="glossarycontent"/>
    <w:basedOn w:val="DefaultParagraphFont"/>
    <w:rsid w:val="005231E8"/>
  </w:style>
  <w:style w:type="paragraph" w:styleId="PlainText">
    <w:name w:val="Plain Text"/>
    <w:basedOn w:val="Normal"/>
    <w:link w:val="PlainTextChar"/>
    <w:uiPriority w:val="99"/>
    <w:semiHidden/>
    <w:unhideWhenUsed/>
    <w:rsid w:val="009A7E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TextChar">
    <w:name w:val="Plain Text Char"/>
    <w:basedOn w:val="DefaultParagraphFont"/>
    <w:link w:val="PlainText"/>
    <w:uiPriority w:val="99"/>
    <w:semiHidden/>
    <w:rsid w:val="009A7EB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195045687">
      <w:bodyDiv w:val="1"/>
      <w:marLeft w:val="0"/>
      <w:marRight w:val="0"/>
      <w:marTop w:val="0"/>
      <w:marBottom w:val="0"/>
      <w:divBdr>
        <w:top w:val="none" w:sz="0" w:space="0" w:color="auto"/>
        <w:left w:val="none" w:sz="0" w:space="0" w:color="auto"/>
        <w:bottom w:val="none" w:sz="0" w:space="0" w:color="auto"/>
        <w:right w:val="none" w:sz="0" w:space="0" w:color="auto"/>
      </w:divBdr>
    </w:div>
    <w:div w:id="222449023">
      <w:bodyDiv w:val="1"/>
      <w:marLeft w:val="0"/>
      <w:marRight w:val="0"/>
      <w:marTop w:val="0"/>
      <w:marBottom w:val="0"/>
      <w:divBdr>
        <w:top w:val="none" w:sz="0" w:space="0" w:color="auto"/>
        <w:left w:val="none" w:sz="0" w:space="0" w:color="auto"/>
        <w:bottom w:val="none" w:sz="0" w:space="0" w:color="auto"/>
        <w:right w:val="none" w:sz="0" w:space="0" w:color="auto"/>
      </w:divBdr>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413817110">
      <w:bodyDiv w:val="1"/>
      <w:marLeft w:val="0"/>
      <w:marRight w:val="0"/>
      <w:marTop w:val="0"/>
      <w:marBottom w:val="0"/>
      <w:divBdr>
        <w:top w:val="none" w:sz="0" w:space="0" w:color="auto"/>
        <w:left w:val="none" w:sz="0" w:space="0" w:color="auto"/>
        <w:bottom w:val="none" w:sz="0" w:space="0" w:color="auto"/>
        <w:right w:val="none" w:sz="0" w:space="0" w:color="auto"/>
      </w:divBdr>
      <w:divsChild>
        <w:div w:id="1087001242">
          <w:marLeft w:val="0"/>
          <w:marRight w:val="0"/>
          <w:marTop w:val="0"/>
          <w:marBottom w:val="0"/>
          <w:divBdr>
            <w:top w:val="none" w:sz="0" w:space="0" w:color="auto"/>
            <w:left w:val="none" w:sz="0" w:space="0" w:color="auto"/>
            <w:bottom w:val="none" w:sz="0" w:space="0" w:color="auto"/>
            <w:right w:val="none" w:sz="0" w:space="0" w:color="auto"/>
          </w:divBdr>
        </w:div>
        <w:div w:id="1808274497">
          <w:marLeft w:val="0"/>
          <w:marRight w:val="0"/>
          <w:marTop w:val="0"/>
          <w:marBottom w:val="0"/>
          <w:divBdr>
            <w:top w:val="none" w:sz="0" w:space="0" w:color="auto"/>
            <w:left w:val="none" w:sz="0" w:space="0" w:color="auto"/>
            <w:bottom w:val="none" w:sz="0" w:space="0" w:color="auto"/>
            <w:right w:val="none" w:sz="0" w:space="0" w:color="auto"/>
          </w:divBdr>
        </w:div>
      </w:divsChild>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662049239">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858735027">
      <w:bodyDiv w:val="1"/>
      <w:marLeft w:val="0"/>
      <w:marRight w:val="0"/>
      <w:marTop w:val="0"/>
      <w:marBottom w:val="0"/>
      <w:divBdr>
        <w:top w:val="none" w:sz="0" w:space="0" w:color="auto"/>
        <w:left w:val="none" w:sz="0" w:space="0" w:color="auto"/>
        <w:bottom w:val="none" w:sz="0" w:space="0" w:color="auto"/>
        <w:right w:val="none" w:sz="0" w:space="0" w:color="auto"/>
      </w:divBdr>
    </w:div>
    <w:div w:id="913583477">
      <w:bodyDiv w:val="1"/>
      <w:marLeft w:val="0"/>
      <w:marRight w:val="0"/>
      <w:marTop w:val="0"/>
      <w:marBottom w:val="0"/>
      <w:divBdr>
        <w:top w:val="none" w:sz="0" w:space="0" w:color="auto"/>
        <w:left w:val="none" w:sz="0" w:space="0" w:color="auto"/>
        <w:bottom w:val="none" w:sz="0" w:space="0" w:color="auto"/>
        <w:right w:val="none" w:sz="0" w:space="0" w:color="auto"/>
      </w:divBdr>
    </w:div>
    <w:div w:id="939028999">
      <w:bodyDiv w:val="1"/>
      <w:marLeft w:val="0"/>
      <w:marRight w:val="0"/>
      <w:marTop w:val="0"/>
      <w:marBottom w:val="0"/>
      <w:divBdr>
        <w:top w:val="none" w:sz="0" w:space="0" w:color="auto"/>
        <w:left w:val="none" w:sz="0" w:space="0" w:color="auto"/>
        <w:bottom w:val="none" w:sz="0" w:space="0" w:color="auto"/>
        <w:right w:val="none" w:sz="0" w:space="0" w:color="auto"/>
      </w:divBdr>
    </w:div>
    <w:div w:id="982393748">
      <w:bodyDiv w:val="1"/>
      <w:marLeft w:val="0"/>
      <w:marRight w:val="0"/>
      <w:marTop w:val="0"/>
      <w:marBottom w:val="0"/>
      <w:divBdr>
        <w:top w:val="none" w:sz="0" w:space="0" w:color="auto"/>
        <w:left w:val="none" w:sz="0" w:space="0" w:color="auto"/>
        <w:bottom w:val="none" w:sz="0" w:space="0" w:color="auto"/>
        <w:right w:val="none" w:sz="0" w:space="0" w:color="auto"/>
      </w:divBdr>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481730548">
      <w:bodyDiv w:val="1"/>
      <w:marLeft w:val="0"/>
      <w:marRight w:val="0"/>
      <w:marTop w:val="0"/>
      <w:marBottom w:val="0"/>
      <w:divBdr>
        <w:top w:val="none" w:sz="0" w:space="0" w:color="auto"/>
        <w:left w:val="none" w:sz="0" w:space="0" w:color="auto"/>
        <w:bottom w:val="none" w:sz="0" w:space="0" w:color="auto"/>
        <w:right w:val="none" w:sz="0" w:space="0" w:color="auto"/>
      </w:divBdr>
    </w:div>
    <w:div w:id="1535341436">
      <w:bodyDiv w:val="1"/>
      <w:marLeft w:val="0"/>
      <w:marRight w:val="0"/>
      <w:marTop w:val="0"/>
      <w:marBottom w:val="0"/>
      <w:divBdr>
        <w:top w:val="none" w:sz="0" w:space="0" w:color="auto"/>
        <w:left w:val="none" w:sz="0" w:space="0" w:color="auto"/>
        <w:bottom w:val="none" w:sz="0" w:space="0" w:color="auto"/>
        <w:right w:val="none" w:sz="0" w:space="0" w:color="auto"/>
      </w:divBdr>
    </w:div>
    <w:div w:id="1570268477">
      <w:bodyDiv w:val="1"/>
      <w:marLeft w:val="0"/>
      <w:marRight w:val="0"/>
      <w:marTop w:val="0"/>
      <w:marBottom w:val="0"/>
      <w:divBdr>
        <w:top w:val="none" w:sz="0" w:space="0" w:color="auto"/>
        <w:left w:val="none" w:sz="0" w:space="0" w:color="auto"/>
        <w:bottom w:val="none" w:sz="0" w:space="0" w:color="auto"/>
        <w:right w:val="none" w:sz="0" w:space="0" w:color="auto"/>
      </w:divBdr>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10798570">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065062202">
      <w:bodyDiv w:val="1"/>
      <w:marLeft w:val="0"/>
      <w:marRight w:val="0"/>
      <w:marTop w:val="0"/>
      <w:marBottom w:val="0"/>
      <w:divBdr>
        <w:top w:val="none" w:sz="0" w:space="0" w:color="auto"/>
        <w:left w:val="none" w:sz="0" w:space="0" w:color="auto"/>
        <w:bottom w:val="none" w:sz="0" w:space="0" w:color="auto"/>
        <w:right w:val="none" w:sz="0" w:space="0" w:color="auto"/>
      </w:divBdr>
    </w:div>
    <w:div w:id="2079857041">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 w:id="2142575623">
      <w:bodyDiv w:val="1"/>
      <w:marLeft w:val="0"/>
      <w:marRight w:val="0"/>
      <w:marTop w:val="0"/>
      <w:marBottom w:val="0"/>
      <w:divBdr>
        <w:top w:val="none" w:sz="0" w:space="0" w:color="auto"/>
        <w:left w:val="none" w:sz="0" w:space="0" w:color="auto"/>
        <w:bottom w:val="none" w:sz="0" w:space="0" w:color="auto"/>
        <w:right w:val="none" w:sz="0" w:space="0" w:color="auto"/>
      </w:divBdr>
      <w:divsChild>
        <w:div w:id="883442512">
          <w:marLeft w:val="0"/>
          <w:marRight w:val="0"/>
          <w:marTop w:val="180"/>
          <w:marBottom w:val="270"/>
          <w:divBdr>
            <w:top w:val="single" w:sz="6" w:space="0" w:color="E3E3E3"/>
            <w:left w:val="single" w:sz="6" w:space="0" w:color="E3E3E3"/>
            <w:bottom w:val="single" w:sz="6" w:space="0" w:color="E3E3E3"/>
            <w:right w:val="single" w:sz="6" w:space="0" w:color="E3E3E3"/>
          </w:divBdr>
          <w:divsChild>
            <w:div w:id="1315111777">
              <w:marLeft w:val="0"/>
              <w:marRight w:val="0"/>
              <w:marTop w:val="0"/>
              <w:marBottom w:val="0"/>
              <w:divBdr>
                <w:top w:val="none" w:sz="0" w:space="0" w:color="auto"/>
                <w:left w:val="none" w:sz="0" w:space="0" w:color="auto"/>
                <w:bottom w:val="none" w:sz="0" w:space="0" w:color="auto"/>
                <w:right w:val="none" w:sz="0" w:space="0" w:color="auto"/>
              </w:divBdr>
              <w:divsChild>
                <w:div w:id="1357346580">
                  <w:marLeft w:val="0"/>
                  <w:marRight w:val="0"/>
                  <w:marTop w:val="0"/>
                  <w:marBottom w:val="0"/>
                  <w:divBdr>
                    <w:top w:val="none" w:sz="0" w:space="0" w:color="auto"/>
                    <w:left w:val="none" w:sz="0" w:space="0" w:color="auto"/>
                    <w:bottom w:val="none" w:sz="0" w:space="0" w:color="auto"/>
                    <w:right w:val="none" w:sz="0" w:space="0" w:color="auto"/>
                  </w:divBdr>
                </w:div>
                <w:div w:id="152084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5E50D-1113-4E0E-9BD6-F78574D99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7</Pages>
  <Words>1434</Words>
  <Characters>8176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18</cp:revision>
  <cp:lastPrinted>2017-10-27T10:22:00Z</cp:lastPrinted>
  <dcterms:created xsi:type="dcterms:W3CDTF">2018-07-02T05:59:00Z</dcterms:created>
  <dcterms:modified xsi:type="dcterms:W3CDTF">2018-07-02T10:49:00Z</dcterms:modified>
</cp:coreProperties>
</file>